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5653" w:rsidRPr="00325653" w:rsidRDefault="00325653" w:rsidP="00917998">
      <w:pPr>
        <w:spacing w:line="256" w:lineRule="auto"/>
        <w:jc w:val="center"/>
        <w:rPr>
          <w:rFonts w:ascii="Times New Roman" w:eastAsia="Calibri" w:hAnsi="Times New Roman"/>
          <w:sz w:val="28"/>
          <w:szCs w:val="28"/>
        </w:rPr>
      </w:pPr>
      <w:bookmarkStart w:id="0" w:name="_GoBack"/>
      <w:bookmarkEnd w:id="0"/>
    </w:p>
    <w:p w:rsidR="00325653" w:rsidRPr="00325653" w:rsidRDefault="00325653" w:rsidP="00325653">
      <w:pPr>
        <w:spacing w:line="256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325653">
        <w:rPr>
          <w:rFonts w:ascii="Times New Roman" w:eastAsia="Calibri" w:hAnsi="Times New Roman"/>
          <w:sz w:val="28"/>
          <w:szCs w:val="28"/>
        </w:rPr>
        <w:t>Критерии оценки потенциальных компонентов портфеля</w:t>
      </w:r>
    </w:p>
    <w:p w:rsidR="00325653" w:rsidRPr="00325653" w:rsidRDefault="00325653" w:rsidP="00325653">
      <w:pPr>
        <w:spacing w:line="256" w:lineRule="auto"/>
        <w:jc w:val="center"/>
        <w:rPr>
          <w:rFonts w:ascii="Times New Roman" w:eastAsia="Calibri" w:hAnsi="Times New Roman"/>
          <w:sz w:val="16"/>
          <w:szCs w:val="16"/>
        </w:rPr>
      </w:pPr>
    </w:p>
    <w:tbl>
      <w:tblPr>
        <w:tblStyle w:val="11"/>
        <w:tblW w:w="0" w:type="auto"/>
        <w:tblInd w:w="0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5830"/>
        <w:gridCol w:w="2057"/>
        <w:gridCol w:w="2057"/>
        <w:gridCol w:w="2057"/>
        <w:gridCol w:w="2057"/>
      </w:tblGrid>
      <w:tr w:rsidR="00325653" w:rsidRPr="00325653" w:rsidTr="00690A98">
        <w:trPr>
          <w:trHeight w:val="627"/>
        </w:trPr>
        <w:tc>
          <w:tcPr>
            <w:tcW w:w="445" w:type="dxa"/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  <w:t>№</w:t>
            </w:r>
          </w:p>
          <w:p w:rsidR="00325653" w:rsidRPr="00325653" w:rsidRDefault="00325653" w:rsidP="0032565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pacing w:val="-6"/>
                <w:sz w:val="24"/>
                <w:szCs w:val="24"/>
                <w:lang w:eastAsia="en-US"/>
              </w:rPr>
              <w:t>п/п</w:t>
            </w:r>
          </w:p>
        </w:tc>
        <w:tc>
          <w:tcPr>
            <w:tcW w:w="5830" w:type="dxa"/>
            <w:vAlign w:val="center"/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Критерии оценки потенциальных компонентов портфеля проектов</w:t>
            </w:r>
          </w:p>
        </w:tc>
        <w:tc>
          <w:tcPr>
            <w:tcW w:w="2057" w:type="dxa"/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0 баллов</w:t>
            </w:r>
          </w:p>
        </w:tc>
        <w:tc>
          <w:tcPr>
            <w:tcW w:w="2057" w:type="dxa"/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 балл</w:t>
            </w:r>
          </w:p>
        </w:tc>
        <w:tc>
          <w:tcPr>
            <w:tcW w:w="2057" w:type="dxa"/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 балла</w:t>
            </w:r>
          </w:p>
        </w:tc>
        <w:tc>
          <w:tcPr>
            <w:tcW w:w="2057" w:type="dxa"/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 балла</w:t>
            </w:r>
          </w:p>
        </w:tc>
      </w:tr>
    </w:tbl>
    <w:p w:rsidR="00325653" w:rsidRPr="00325653" w:rsidRDefault="00325653" w:rsidP="00325653">
      <w:pPr>
        <w:rPr>
          <w:sz w:val="2"/>
          <w:szCs w:val="2"/>
        </w:rPr>
      </w:pPr>
    </w:p>
    <w:tbl>
      <w:tblPr>
        <w:tblStyle w:val="11"/>
        <w:tblW w:w="1450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445"/>
        <w:gridCol w:w="5830"/>
        <w:gridCol w:w="2057"/>
        <w:gridCol w:w="2057"/>
        <w:gridCol w:w="2057"/>
        <w:gridCol w:w="2057"/>
      </w:tblGrid>
      <w:tr w:rsidR="00325653" w:rsidRPr="00325653" w:rsidTr="00690A98">
        <w:trPr>
          <w:trHeight w:val="104"/>
          <w:tblHeader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6</w:t>
            </w:r>
          </w:p>
        </w:tc>
      </w:tr>
      <w:tr w:rsidR="00325653" w:rsidRPr="00325653" w:rsidTr="00690A98">
        <w:trPr>
          <w:trHeight w:val="95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Критерий 1:</w:t>
            </w:r>
          </w:p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Степень влияния результатов проекта на достижение показателей Стратегии социально-экономического развития Рязанской области на период до 2030 года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более чем на 15% влияет на достижение показателей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влияет на достижение показателей на 6-15%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менее чем на 5% влияет на достижение показателей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не влияет на достижение показателей</w:t>
            </w:r>
          </w:p>
        </w:tc>
      </w:tr>
      <w:tr w:rsidR="00325653" w:rsidRPr="00325653" w:rsidTr="00690A9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Критерий 2:</w:t>
            </w:r>
          </w:p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Степень влияния результатов проекта на достижение показателей государственной программой Рязанской области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более чем на 20% влияет на достижение показателей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влияет на достижение показателей на 11-20%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менее чем на 10% влияет на достижение показателей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не влияет на достижение показателей</w:t>
            </w:r>
          </w:p>
        </w:tc>
      </w:tr>
      <w:tr w:rsidR="00325653" w:rsidRPr="00325653" w:rsidTr="00690A9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Критерий 3:</w:t>
            </w:r>
          </w:p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Степень влияния результатов проекта на достижение показателей оценки эффективности деятельности органов исполнительной власти субъектов Российской Федерации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более чем на 20% влияет на достижение показателей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влияет на достижение показателей на 11-20%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менее чем на 10% влияет на достижение показателей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не влияет на достижение показателей</w:t>
            </w:r>
          </w:p>
        </w:tc>
      </w:tr>
      <w:tr w:rsidR="00325653" w:rsidRPr="00325653" w:rsidTr="00690A9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contextualSpacing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Критерий 4:</w:t>
            </w:r>
          </w:p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Степень влияния результатов проекта на достижение</w:t>
            </w:r>
            <w:r w:rsidRPr="00325653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показателей федеральных и национальных проектов Российской Федерации, указами Президента Российской Федерации </w:t>
            </w:r>
          </w:p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более чем на 15% влияет на достижение показателей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влияет на достижение показателей на 6-15%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менее чем на 5% влияет на достижение показателей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Компонент не влияет на достижение показателей</w:t>
            </w:r>
          </w:p>
        </w:tc>
      </w:tr>
      <w:tr w:rsidR="00325653" w:rsidRPr="00325653" w:rsidTr="00690A9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23" w:lineRule="auto"/>
              <w:contextualSpacing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Критерий 5:</w:t>
            </w:r>
          </w:p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Степень зависимости получения результатов компонента портфеля от других проектов и программ (различного уровня реализации и ведомственной принадлежности)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>Компонент не зависит от результатов других компонентов портфеля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t xml:space="preserve">Компонент менее чем на 50% зависит от результатов других компонентов портфеля и/или результаты компонента </w:t>
            </w:r>
            <w:r w:rsidRPr="0032565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lastRenderedPageBreak/>
              <w:t>портфеля менее чем на 50% влияют на выполнение задач других компонентов портфеля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lastRenderedPageBreak/>
              <w:t xml:space="preserve">Компонент более чем на 50% зависит от результатов других компонентов портфеля и/или результаты компонента </w:t>
            </w:r>
            <w:r w:rsidRPr="0032565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lastRenderedPageBreak/>
              <w:t>портфеля более чем на 50% влияют на выполнение задач других компонентов портфеля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lastRenderedPageBreak/>
              <w:t xml:space="preserve">Компонент более чем на 70% зависит от результатов других компонентов портфеля и/или результаты компонента </w:t>
            </w:r>
            <w:r w:rsidRPr="00325653"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  <w:lastRenderedPageBreak/>
              <w:t>портфеля более чем на 70% влияют на выполнение задач других компонентов портфеля</w:t>
            </w:r>
          </w:p>
        </w:tc>
      </w:tr>
      <w:tr w:rsidR="00325653" w:rsidRPr="00325653" w:rsidTr="00690A98"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spacing w:line="223" w:lineRule="auto"/>
              <w:contextualSpacing/>
              <w:rPr>
                <w:rFonts w:ascii="Times New Roman" w:eastAsia="Calibri" w:hAnsi="Times New Roman"/>
                <w:bCs/>
                <w:spacing w:val="-4"/>
                <w:sz w:val="24"/>
                <w:szCs w:val="24"/>
                <w:lang w:eastAsia="en-US"/>
              </w:rPr>
            </w:pPr>
          </w:p>
        </w:tc>
        <w:tc>
          <w:tcPr>
            <w:tcW w:w="5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bCs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bCs/>
                <w:spacing w:val="-4"/>
                <w:sz w:val="24"/>
                <w:szCs w:val="24"/>
                <w:lang w:eastAsia="en-US"/>
              </w:rPr>
              <w:t>Критерий 6:</w:t>
            </w:r>
          </w:p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bCs/>
                <w:spacing w:val="-4"/>
                <w:sz w:val="24"/>
                <w:szCs w:val="24"/>
                <w:lang w:eastAsia="en-US"/>
              </w:rPr>
              <w:t>Степень значимости компонента портфеля для руководителя портфеля проектов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color w:val="000000" w:themeColor="text1"/>
                <w:spacing w:val="-4"/>
                <w:sz w:val="24"/>
                <w:szCs w:val="24"/>
                <w:lang w:eastAsia="en-US"/>
              </w:rPr>
              <w:t>Наивысшая значимость - результаты компонента портфеля проектов определяют возможности дальнейшего существования системы исполнителя компонента портфеля проектов и системы потребителя, пользователя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color w:val="000000" w:themeColor="text1"/>
                <w:spacing w:val="-4"/>
                <w:sz w:val="24"/>
                <w:szCs w:val="24"/>
                <w:lang w:eastAsia="en-US"/>
              </w:rPr>
              <w:t>Высокая значимость - выполнение компонента портфеля проектов переводит параметры системы исполнителя или объекта-пользователя на качественно новый уровень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spacing w:line="223" w:lineRule="auto"/>
              <w:rPr>
                <w:rFonts w:ascii="Times New Roman" w:eastAsia="Calibri" w:hAnsi="Times New Roman"/>
                <w:color w:val="000000" w:themeColor="text1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color w:val="000000" w:themeColor="text1"/>
                <w:spacing w:val="-4"/>
                <w:sz w:val="24"/>
                <w:szCs w:val="24"/>
                <w:lang w:eastAsia="en-US"/>
              </w:rPr>
              <w:t>Существенная значимость -</w:t>
            </w:r>
          </w:p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color w:val="000000" w:themeColor="text1"/>
                <w:spacing w:val="-4"/>
                <w:sz w:val="24"/>
                <w:szCs w:val="24"/>
                <w:lang w:eastAsia="en-US"/>
              </w:rPr>
              <w:t xml:space="preserve">выполнение компонента портфеля проектов основательно улучшает количественные и качественные параметры объекта пользователя </w:t>
            </w:r>
          </w:p>
        </w:tc>
        <w:tc>
          <w:tcPr>
            <w:tcW w:w="2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color w:val="000000" w:themeColor="text1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color w:val="000000" w:themeColor="text1"/>
                <w:spacing w:val="-4"/>
                <w:sz w:val="24"/>
                <w:szCs w:val="24"/>
                <w:lang w:eastAsia="en-US"/>
              </w:rPr>
              <w:t>Незначительная значимость -</w:t>
            </w:r>
          </w:p>
          <w:p w:rsidR="00325653" w:rsidRPr="00325653" w:rsidRDefault="00325653" w:rsidP="00325653">
            <w:pPr>
              <w:autoSpaceDE w:val="0"/>
              <w:autoSpaceDN w:val="0"/>
              <w:adjustRightInd w:val="0"/>
              <w:spacing w:line="223" w:lineRule="auto"/>
              <w:rPr>
                <w:rFonts w:ascii="Times New Roman" w:eastAsia="Calibri" w:hAnsi="Times New Roman"/>
                <w:spacing w:val="-4"/>
                <w:sz w:val="24"/>
                <w:szCs w:val="24"/>
                <w:lang w:eastAsia="en-US"/>
              </w:rPr>
            </w:pPr>
            <w:r w:rsidRPr="00325653">
              <w:rPr>
                <w:rFonts w:ascii="Times New Roman" w:eastAsia="Calibri" w:hAnsi="Times New Roman"/>
                <w:color w:val="000000" w:themeColor="text1"/>
                <w:spacing w:val="-4"/>
                <w:sz w:val="24"/>
                <w:szCs w:val="24"/>
                <w:lang w:eastAsia="en-US"/>
              </w:rPr>
              <w:t>выполнение компонента портфеля проектов незначительно улучшает количественные и качественные параметры объекта пользователя</w:t>
            </w:r>
          </w:p>
        </w:tc>
      </w:tr>
    </w:tbl>
    <w:p w:rsidR="00AF16A1" w:rsidRPr="00325653" w:rsidRDefault="00AF16A1" w:rsidP="00325653"/>
    <w:sectPr w:rsidR="00AF16A1" w:rsidRPr="00325653" w:rsidSect="00917998">
      <w:headerReference w:type="default" r:id="rId7"/>
      <w:pgSz w:w="16838" w:h="11906" w:orient="landscape"/>
      <w:pgMar w:top="1276" w:right="720" w:bottom="56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7FCC" w:rsidRDefault="00537FCC" w:rsidP="00956E63">
      <w:r>
        <w:separator/>
      </w:r>
    </w:p>
  </w:endnote>
  <w:endnote w:type="continuationSeparator" w:id="0">
    <w:p w:rsidR="00537FCC" w:rsidRDefault="00537FCC" w:rsidP="00956E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ET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7FCC" w:rsidRDefault="00537FCC" w:rsidP="00956E63">
      <w:r>
        <w:separator/>
      </w:r>
    </w:p>
  </w:footnote>
  <w:footnote w:type="continuationSeparator" w:id="0">
    <w:p w:rsidR="00537FCC" w:rsidRDefault="00537FCC" w:rsidP="00956E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45368696"/>
      <w:docPartObj>
        <w:docPartGallery w:val="Page Numbers (Top of Page)"/>
        <w:docPartUnique/>
      </w:docPartObj>
    </w:sdtPr>
    <w:sdtEndPr/>
    <w:sdtContent>
      <w:p w:rsidR="00956E63" w:rsidRDefault="00956E6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7998">
          <w:rPr>
            <w:noProof/>
          </w:rPr>
          <w:t>2</w:t>
        </w:r>
        <w:r>
          <w:fldChar w:fldCharType="end"/>
        </w:r>
      </w:p>
    </w:sdtContent>
  </w:sdt>
  <w:p w:rsidR="00956E63" w:rsidRDefault="00956E63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6A77E6"/>
    <w:multiLevelType w:val="hybridMultilevel"/>
    <w:tmpl w:val="EE609A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0A311A"/>
    <w:multiLevelType w:val="hybridMultilevel"/>
    <w:tmpl w:val="C114B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6E63"/>
    <w:rsid w:val="000159EF"/>
    <w:rsid w:val="0022545E"/>
    <w:rsid w:val="00307B12"/>
    <w:rsid w:val="00325653"/>
    <w:rsid w:val="00537FCC"/>
    <w:rsid w:val="00917998"/>
    <w:rsid w:val="00956E63"/>
    <w:rsid w:val="00AF16A1"/>
    <w:rsid w:val="00C32379"/>
    <w:rsid w:val="00E67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6020C0-C595-4D33-8B73-9C16EE552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6E63"/>
    <w:pPr>
      <w:spacing w:after="0" w:line="240" w:lineRule="auto"/>
    </w:pPr>
    <w:rPr>
      <w:rFonts w:ascii="TimesET" w:eastAsia="Times New Roman" w:hAnsi="TimesET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6E6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annotation text"/>
    <w:basedOn w:val="a"/>
    <w:link w:val="a4"/>
    <w:rsid w:val="00956E63"/>
    <w:rPr>
      <w:rFonts w:ascii="Times New Roman" w:hAnsi="Times New Roman"/>
      <w:sz w:val="24"/>
      <w:szCs w:val="24"/>
      <w:lang w:val="en-US" w:eastAsia="x-none"/>
    </w:rPr>
  </w:style>
  <w:style w:type="character" w:customStyle="1" w:styleId="a4">
    <w:name w:val="Текст примечания Знак"/>
    <w:basedOn w:val="a0"/>
    <w:link w:val="a3"/>
    <w:rsid w:val="00956E63"/>
    <w:rPr>
      <w:rFonts w:ascii="Times New Roman" w:eastAsia="Times New Roman" w:hAnsi="Times New Roman" w:cs="Times New Roman"/>
      <w:sz w:val="24"/>
      <w:szCs w:val="24"/>
      <w:lang w:val="en-US" w:eastAsia="x-none"/>
    </w:rPr>
  </w:style>
  <w:style w:type="paragraph" w:styleId="a5">
    <w:name w:val="List Paragraph"/>
    <w:basedOn w:val="a"/>
    <w:uiPriority w:val="34"/>
    <w:qFormat/>
    <w:rsid w:val="00956E63"/>
    <w:pPr>
      <w:spacing w:after="45" w:line="270" w:lineRule="auto"/>
      <w:ind w:left="720" w:hanging="10"/>
      <w:contextualSpacing/>
      <w:jc w:val="both"/>
    </w:pPr>
    <w:rPr>
      <w:rFonts w:ascii="Times New Roman" w:hAnsi="Times New Roman"/>
      <w:color w:val="000000"/>
      <w:sz w:val="28"/>
      <w:szCs w:val="22"/>
    </w:rPr>
  </w:style>
  <w:style w:type="paragraph" w:styleId="a6">
    <w:name w:val="footnote text"/>
    <w:basedOn w:val="a"/>
    <w:link w:val="a7"/>
    <w:uiPriority w:val="99"/>
    <w:unhideWhenUsed/>
    <w:rsid w:val="00956E63"/>
    <w:pPr>
      <w:ind w:left="5766" w:hanging="10"/>
      <w:jc w:val="both"/>
    </w:pPr>
    <w:rPr>
      <w:rFonts w:ascii="Times New Roman" w:hAnsi="Times New Roman"/>
      <w:color w:val="000000"/>
    </w:rPr>
  </w:style>
  <w:style w:type="character" w:customStyle="1" w:styleId="a7">
    <w:name w:val="Текст сноски Знак"/>
    <w:basedOn w:val="a0"/>
    <w:link w:val="a6"/>
    <w:uiPriority w:val="99"/>
    <w:rsid w:val="00956E63"/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956E63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56E63"/>
    <w:rPr>
      <w:rFonts w:ascii="TimesET" w:eastAsia="Times New Roman" w:hAnsi="TimesET" w:cs="Times New Roman"/>
      <w:sz w:val="20"/>
      <w:szCs w:val="20"/>
      <w:lang w:eastAsia="ru-RU"/>
    </w:rPr>
  </w:style>
  <w:style w:type="character" w:styleId="ac">
    <w:name w:val="footnote reference"/>
    <w:basedOn w:val="a0"/>
    <w:uiPriority w:val="99"/>
    <w:unhideWhenUsed/>
    <w:rsid w:val="0022545E"/>
    <w:rPr>
      <w:vertAlign w:val="superscript"/>
    </w:rPr>
  </w:style>
  <w:style w:type="table" w:customStyle="1" w:styleId="1">
    <w:name w:val="Сетка таблицы1"/>
    <w:basedOn w:val="a1"/>
    <w:next w:val="ad"/>
    <w:uiPriority w:val="39"/>
    <w:rsid w:val="0022545E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d">
    <w:name w:val="Table Grid"/>
    <w:basedOn w:val="a1"/>
    <w:uiPriority w:val="59"/>
    <w:rsid w:val="002254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d"/>
    <w:uiPriority w:val="39"/>
    <w:rsid w:val="00325653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Чистяков А.Л.</dc:creator>
  <cp:lastModifiedBy>Степанов Максим</cp:lastModifiedBy>
  <cp:revision>5</cp:revision>
  <dcterms:created xsi:type="dcterms:W3CDTF">2019-01-24T13:37:00Z</dcterms:created>
  <dcterms:modified xsi:type="dcterms:W3CDTF">2019-08-22T09:16:00Z</dcterms:modified>
</cp:coreProperties>
</file>